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E7" w:rsidRPr="00533342" w:rsidRDefault="004453B4" w:rsidP="0088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CC0D9" w:themeFill="accent4" w:themeFillTint="66"/>
        <w:spacing w:after="45" w:line="240" w:lineRule="auto"/>
        <w:jc w:val="center"/>
        <w:outlineLvl w:val="3"/>
        <w:rPr>
          <w:rFonts w:cs="Arial"/>
          <w:b/>
          <w:bCs/>
          <w:szCs w:val="24"/>
          <w:lang w:val="en" w:eastAsia="en-GB"/>
        </w:rPr>
      </w:pPr>
      <w:r w:rsidRPr="00533342">
        <w:rPr>
          <w:rFonts w:cs="Arial"/>
          <w:b/>
          <w:bCs/>
          <w:szCs w:val="24"/>
          <w:lang w:val="en" w:eastAsia="en-GB"/>
        </w:rPr>
        <w:t xml:space="preserve">Briefing Paper on </w:t>
      </w:r>
      <w:r w:rsidR="00DD07E7" w:rsidRPr="00533342">
        <w:rPr>
          <w:rFonts w:cs="Arial"/>
          <w:b/>
          <w:bCs/>
          <w:szCs w:val="24"/>
          <w:lang w:val="en" w:eastAsia="en-GB"/>
        </w:rPr>
        <w:t xml:space="preserve">CLD CPD </w:t>
      </w:r>
      <w:bookmarkStart w:id="0" w:name="_GoBack"/>
      <w:bookmarkEnd w:id="0"/>
      <w:r w:rsidR="00FA473E" w:rsidRPr="00533342">
        <w:rPr>
          <w:rFonts w:cs="Arial"/>
          <w:b/>
          <w:bCs/>
          <w:szCs w:val="24"/>
          <w:lang w:val="en" w:eastAsia="en-GB"/>
        </w:rPr>
        <w:t>Networks -</w:t>
      </w:r>
      <w:r w:rsidR="00DD07E7" w:rsidRPr="00533342">
        <w:rPr>
          <w:rFonts w:cs="Arial"/>
          <w:b/>
          <w:bCs/>
          <w:szCs w:val="24"/>
          <w:lang w:val="en" w:eastAsia="en-GB"/>
        </w:rPr>
        <w:t xml:space="preserve"> </w:t>
      </w:r>
      <w:r w:rsidR="00C34FA7" w:rsidRPr="00533342">
        <w:rPr>
          <w:rFonts w:cs="Arial"/>
          <w:b/>
          <w:bCs/>
          <w:szCs w:val="24"/>
          <w:lang w:val="en" w:eastAsia="en-GB"/>
        </w:rPr>
        <w:t xml:space="preserve">for Education Regional Improvement </w:t>
      </w:r>
      <w:proofErr w:type="spellStart"/>
      <w:r w:rsidR="00C34FA7" w:rsidRPr="00533342">
        <w:rPr>
          <w:rFonts w:cs="Arial"/>
          <w:b/>
          <w:bCs/>
          <w:szCs w:val="24"/>
          <w:lang w:val="en" w:eastAsia="en-GB"/>
        </w:rPr>
        <w:t>Collaboratives</w:t>
      </w:r>
      <w:proofErr w:type="spellEnd"/>
    </w:p>
    <w:p w:rsidR="008120A6" w:rsidRPr="00533342" w:rsidRDefault="008120A6" w:rsidP="00DD07E7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</w:p>
    <w:p w:rsidR="004453B4" w:rsidRPr="00533342" w:rsidRDefault="008B6C71" w:rsidP="00CC40D7">
      <w:pPr>
        <w:jc w:val="left"/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 xml:space="preserve">1. </w:t>
      </w:r>
      <w:r w:rsidR="004453B4" w:rsidRPr="00533342">
        <w:rPr>
          <w:rFonts w:cs="Arial"/>
          <w:b/>
          <w:szCs w:val="24"/>
        </w:rPr>
        <w:t>Purpose of Paper</w:t>
      </w:r>
    </w:p>
    <w:p w:rsidR="00CC40D7" w:rsidRPr="00533342" w:rsidRDefault="004453B4" w:rsidP="00CC40D7">
      <w:pPr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T</w:t>
      </w:r>
      <w:r w:rsidR="00CC40D7" w:rsidRPr="00533342">
        <w:rPr>
          <w:rFonts w:cs="Arial"/>
          <w:szCs w:val="24"/>
        </w:rPr>
        <w:t xml:space="preserve">his briefing </w:t>
      </w:r>
      <w:r w:rsidRPr="00533342">
        <w:rPr>
          <w:rFonts w:cs="Arial"/>
          <w:szCs w:val="24"/>
        </w:rPr>
        <w:t xml:space="preserve">paper </w:t>
      </w:r>
      <w:r w:rsidR="00CC40D7" w:rsidRPr="00533342">
        <w:rPr>
          <w:rFonts w:cs="Arial"/>
          <w:szCs w:val="24"/>
        </w:rPr>
        <w:t xml:space="preserve">outlines the role and responsibilities of regional </w:t>
      </w:r>
      <w:r w:rsidRPr="00533342">
        <w:rPr>
          <w:rFonts w:cs="Arial"/>
          <w:szCs w:val="24"/>
        </w:rPr>
        <w:t>Community Learning and Development (</w:t>
      </w:r>
      <w:r w:rsidR="00CC40D7" w:rsidRPr="00533342">
        <w:rPr>
          <w:rFonts w:cs="Arial"/>
          <w:szCs w:val="24"/>
        </w:rPr>
        <w:t>CLD</w:t>
      </w:r>
      <w:r w:rsidRPr="00533342">
        <w:rPr>
          <w:rFonts w:cs="Arial"/>
          <w:szCs w:val="24"/>
        </w:rPr>
        <w:t>)</w:t>
      </w:r>
      <w:r w:rsidR="00CC40D7" w:rsidRPr="00533342">
        <w:rPr>
          <w:rFonts w:cs="Arial"/>
          <w:szCs w:val="24"/>
        </w:rPr>
        <w:t xml:space="preserve"> networks</w:t>
      </w:r>
      <w:r w:rsidR="000F3F27" w:rsidRPr="00533342">
        <w:rPr>
          <w:rFonts w:cs="Arial"/>
          <w:szCs w:val="24"/>
        </w:rPr>
        <w:t xml:space="preserve"> which currently operate across Scotland</w:t>
      </w:r>
      <w:r w:rsidR="00811551" w:rsidRPr="00533342">
        <w:rPr>
          <w:rFonts w:cs="Arial"/>
          <w:szCs w:val="24"/>
        </w:rPr>
        <w:t xml:space="preserve">. It is intended to </w:t>
      </w:r>
      <w:r w:rsidR="00882305" w:rsidRPr="00533342">
        <w:rPr>
          <w:rFonts w:cs="Arial"/>
          <w:szCs w:val="24"/>
        </w:rPr>
        <w:t xml:space="preserve">help </w:t>
      </w:r>
      <w:r w:rsidRPr="00533342">
        <w:rPr>
          <w:rFonts w:cs="Arial"/>
          <w:szCs w:val="24"/>
        </w:rPr>
        <w:t xml:space="preserve">Education Regional </w:t>
      </w:r>
      <w:r w:rsidR="00811551" w:rsidRPr="00533342">
        <w:rPr>
          <w:rFonts w:cs="Arial"/>
          <w:szCs w:val="24"/>
        </w:rPr>
        <w:t xml:space="preserve">Improvement Collaborative lead officers </w:t>
      </w:r>
      <w:r w:rsidR="00882305" w:rsidRPr="00533342">
        <w:rPr>
          <w:rFonts w:cs="Arial"/>
          <w:szCs w:val="24"/>
        </w:rPr>
        <w:t>to</w:t>
      </w:r>
      <w:r w:rsidR="000F3F27" w:rsidRPr="00533342">
        <w:rPr>
          <w:rFonts w:cs="Arial"/>
          <w:szCs w:val="24"/>
        </w:rPr>
        <w:t xml:space="preserve"> understand the </w:t>
      </w:r>
      <w:r w:rsidR="00882305" w:rsidRPr="00533342">
        <w:rPr>
          <w:rFonts w:cs="Arial"/>
          <w:szCs w:val="24"/>
        </w:rPr>
        <w:t xml:space="preserve">role of these networks and to consider how </w:t>
      </w:r>
      <w:r w:rsidR="000F3F27" w:rsidRPr="00533342">
        <w:rPr>
          <w:rFonts w:cs="Arial"/>
          <w:szCs w:val="24"/>
        </w:rPr>
        <w:t xml:space="preserve">collaboration </w:t>
      </w:r>
      <w:r w:rsidR="00811551" w:rsidRPr="00533342">
        <w:rPr>
          <w:rFonts w:cs="Arial"/>
          <w:szCs w:val="24"/>
        </w:rPr>
        <w:t xml:space="preserve">with CLD </w:t>
      </w:r>
      <w:r w:rsidR="00882305" w:rsidRPr="00533342">
        <w:rPr>
          <w:rFonts w:cs="Arial"/>
          <w:szCs w:val="24"/>
        </w:rPr>
        <w:t>networks</w:t>
      </w:r>
      <w:r w:rsidR="00811551" w:rsidRPr="00533342">
        <w:rPr>
          <w:rFonts w:cs="Arial"/>
          <w:szCs w:val="24"/>
        </w:rPr>
        <w:t xml:space="preserve"> in their areas</w:t>
      </w:r>
      <w:r w:rsidR="000F3F27" w:rsidRPr="00533342">
        <w:rPr>
          <w:rFonts w:cs="Arial"/>
          <w:szCs w:val="24"/>
        </w:rPr>
        <w:t xml:space="preserve"> </w:t>
      </w:r>
      <w:r w:rsidR="00882305" w:rsidRPr="00533342">
        <w:rPr>
          <w:rFonts w:cs="Arial"/>
          <w:szCs w:val="24"/>
        </w:rPr>
        <w:t xml:space="preserve">can contribute to empower teachers, parents, partners and communities and </w:t>
      </w:r>
      <w:r w:rsidR="00882305" w:rsidRPr="00533342">
        <w:rPr>
          <w:rFonts w:cs="Arial"/>
          <w:bCs/>
          <w:iCs/>
          <w:szCs w:val="24"/>
        </w:rPr>
        <w:t>improve outcomes for children and young people in their area.</w:t>
      </w:r>
    </w:p>
    <w:p w:rsidR="008120A6" w:rsidRPr="00533342" w:rsidRDefault="008120A6" w:rsidP="008120A6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</w:p>
    <w:p w:rsidR="00C34FA7" w:rsidRPr="00533342" w:rsidRDefault="008B6C71" w:rsidP="00C34FA7">
      <w:pPr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 xml:space="preserve">2. </w:t>
      </w:r>
      <w:r w:rsidR="004B183D" w:rsidRPr="00533342">
        <w:rPr>
          <w:rFonts w:cs="Arial"/>
          <w:b/>
          <w:szCs w:val="24"/>
        </w:rPr>
        <w:t xml:space="preserve">Context: Community </w:t>
      </w:r>
      <w:proofErr w:type="gramStart"/>
      <w:r w:rsidR="004B183D" w:rsidRPr="00533342">
        <w:rPr>
          <w:rFonts w:cs="Arial"/>
          <w:b/>
          <w:szCs w:val="24"/>
        </w:rPr>
        <w:t>Learning</w:t>
      </w:r>
      <w:proofErr w:type="gramEnd"/>
      <w:r w:rsidR="004B183D" w:rsidRPr="00533342">
        <w:rPr>
          <w:rFonts w:cs="Arial"/>
          <w:b/>
          <w:szCs w:val="24"/>
        </w:rPr>
        <w:t xml:space="preserve"> and Development (CLD)</w:t>
      </w:r>
      <w:r w:rsidR="00CC40D7" w:rsidRPr="00533342">
        <w:rPr>
          <w:rFonts w:cs="Arial"/>
          <w:b/>
          <w:szCs w:val="24"/>
        </w:rPr>
        <w:t xml:space="preserve"> and </w:t>
      </w:r>
      <w:r w:rsidR="008B5D58" w:rsidRPr="00533342">
        <w:rPr>
          <w:rFonts w:cs="Arial"/>
          <w:b/>
          <w:szCs w:val="24"/>
        </w:rPr>
        <w:t xml:space="preserve">closing </w:t>
      </w:r>
      <w:r w:rsidR="00CC40D7" w:rsidRPr="00533342">
        <w:rPr>
          <w:rFonts w:cs="Arial"/>
          <w:b/>
          <w:szCs w:val="24"/>
        </w:rPr>
        <w:t>the attainment gap</w:t>
      </w:r>
    </w:p>
    <w:p w:rsidR="004B183D" w:rsidRPr="00533342" w:rsidRDefault="004B183D" w:rsidP="004B183D">
      <w:pPr>
        <w:pStyle w:val="ListParagraph"/>
        <w:numPr>
          <w:ilvl w:val="0"/>
          <w:numId w:val="11"/>
        </w:numPr>
        <w:rPr>
          <w:rFonts w:cs="Arial"/>
          <w:b/>
          <w:szCs w:val="24"/>
        </w:rPr>
      </w:pPr>
      <w:r w:rsidRPr="00533342">
        <w:rPr>
          <w:rFonts w:cs="Arial"/>
          <w:szCs w:val="24"/>
        </w:rPr>
        <w:t>Community Learning and Development (CLD) describes the</w:t>
      </w:r>
      <w:r w:rsidR="008B6C71" w:rsidRPr="00533342">
        <w:rPr>
          <w:rFonts w:cs="Arial"/>
          <w:szCs w:val="24"/>
        </w:rPr>
        <w:t xml:space="preserve"> range of </w:t>
      </w:r>
      <w:r w:rsidRPr="00533342">
        <w:rPr>
          <w:rFonts w:cs="Arial"/>
          <w:szCs w:val="24"/>
        </w:rPr>
        <w:t xml:space="preserve">distinctive processes of engagement and support which supports primarily disadvantaged or vulnerable groups and individuals of all ages to engage in learning, with a focus on bringing about change in their lives and communities. </w:t>
      </w:r>
      <w:r w:rsidR="008B6C71" w:rsidRPr="00533342">
        <w:rPr>
          <w:rFonts w:cs="Arial"/>
          <w:szCs w:val="24"/>
        </w:rPr>
        <w:t>CLD methods include: youth work;</w:t>
      </w:r>
      <w:r w:rsidRPr="00533342">
        <w:rPr>
          <w:rFonts w:cs="Arial"/>
          <w:szCs w:val="24"/>
        </w:rPr>
        <w:t xml:space="preserve"> adult and family learning</w:t>
      </w:r>
      <w:r w:rsidR="008B6C71" w:rsidRPr="00533342">
        <w:rPr>
          <w:rFonts w:cs="Arial"/>
          <w:szCs w:val="24"/>
        </w:rPr>
        <w:t>;</w:t>
      </w:r>
      <w:r w:rsidRPr="00533342">
        <w:rPr>
          <w:rFonts w:cs="Arial"/>
          <w:szCs w:val="24"/>
        </w:rPr>
        <w:t xml:space="preserve"> and community development.</w:t>
      </w:r>
    </w:p>
    <w:p w:rsidR="0072509C" w:rsidRPr="00533342" w:rsidRDefault="0072509C" w:rsidP="004B183D">
      <w:pPr>
        <w:pStyle w:val="ListParagraph"/>
        <w:numPr>
          <w:ilvl w:val="0"/>
          <w:numId w:val="11"/>
        </w:numPr>
        <w:rPr>
          <w:rFonts w:cs="Arial"/>
          <w:b/>
          <w:szCs w:val="24"/>
        </w:rPr>
      </w:pPr>
      <w:r w:rsidRPr="00533342">
        <w:rPr>
          <w:rFonts w:cs="Arial"/>
          <w:szCs w:val="24"/>
        </w:rPr>
        <w:t xml:space="preserve">The </w:t>
      </w:r>
      <w:hyperlink r:id="rId9" w:history="1">
        <w:r w:rsidRPr="00533342">
          <w:rPr>
            <w:rStyle w:val="Hyperlink"/>
            <w:rFonts w:cs="Arial"/>
            <w:szCs w:val="24"/>
          </w:rPr>
          <w:t>CLD workforce</w:t>
        </w:r>
      </w:hyperlink>
      <w:r w:rsidRPr="00533342">
        <w:rPr>
          <w:rFonts w:cs="Arial"/>
          <w:szCs w:val="24"/>
        </w:rPr>
        <w:t xml:space="preserve"> is </w:t>
      </w:r>
      <w:r w:rsidR="000F3F27" w:rsidRPr="00533342">
        <w:rPr>
          <w:rFonts w:cs="Arial"/>
          <w:szCs w:val="24"/>
        </w:rPr>
        <w:t xml:space="preserve">very </w:t>
      </w:r>
      <w:r w:rsidRPr="00533342">
        <w:rPr>
          <w:rFonts w:cs="Arial"/>
          <w:szCs w:val="24"/>
        </w:rPr>
        <w:t xml:space="preserve">diverse and CLD practitioners </w:t>
      </w:r>
      <w:r w:rsidR="000F3F27" w:rsidRPr="00533342">
        <w:rPr>
          <w:rFonts w:cs="Arial"/>
          <w:szCs w:val="24"/>
        </w:rPr>
        <w:t xml:space="preserve">work </w:t>
      </w:r>
      <w:r w:rsidRPr="00533342">
        <w:rPr>
          <w:rFonts w:cs="Arial"/>
          <w:szCs w:val="24"/>
        </w:rPr>
        <w:t xml:space="preserve">in both </w:t>
      </w:r>
      <w:r w:rsidR="000F3F27" w:rsidRPr="00533342">
        <w:rPr>
          <w:rFonts w:cs="Arial"/>
          <w:szCs w:val="24"/>
        </w:rPr>
        <w:t>public and voluntary sector organisations</w:t>
      </w:r>
      <w:r w:rsidRPr="00533342">
        <w:rPr>
          <w:rFonts w:cs="Arial"/>
          <w:szCs w:val="24"/>
        </w:rPr>
        <w:t>.</w:t>
      </w:r>
    </w:p>
    <w:p w:rsidR="000F3F27" w:rsidRPr="00533342" w:rsidRDefault="000F3F27" w:rsidP="000F3F27">
      <w:pPr>
        <w:pStyle w:val="ListParagraph"/>
        <w:numPr>
          <w:ilvl w:val="0"/>
          <w:numId w:val="11"/>
        </w:numPr>
        <w:autoSpaceDE w:val="0"/>
        <w:autoSpaceDN w:val="0"/>
        <w:rPr>
          <w:rFonts w:cs="Arial"/>
          <w:color w:val="0D4996"/>
          <w:szCs w:val="24"/>
        </w:rPr>
      </w:pPr>
      <w:r w:rsidRPr="00533342">
        <w:rPr>
          <w:rFonts w:cs="Arial"/>
          <w:szCs w:val="24"/>
        </w:rPr>
        <w:t xml:space="preserve">Since 2013, local authorities have had a statutory duty to work with their partners to secure adequate and efficient CLD in their area and develop </w:t>
      </w:r>
      <w:hyperlink r:id="rId10" w:history="1">
        <w:r w:rsidRPr="00533342">
          <w:rPr>
            <w:rStyle w:val="Hyperlink"/>
            <w:rFonts w:cs="Arial"/>
            <w:szCs w:val="24"/>
          </w:rPr>
          <w:t>CLD plans</w:t>
        </w:r>
      </w:hyperlink>
      <w:r w:rsidRPr="00533342">
        <w:rPr>
          <w:rFonts w:cs="Arial"/>
          <w:szCs w:val="24"/>
        </w:rPr>
        <w:t xml:space="preserve"> which include a focus on developing the CLD workforce.</w:t>
      </w:r>
    </w:p>
    <w:p w:rsidR="008B5D58" w:rsidRPr="00533342" w:rsidRDefault="008B5D58" w:rsidP="008B5D58">
      <w:pPr>
        <w:pStyle w:val="ListParagraph"/>
        <w:numPr>
          <w:ilvl w:val="0"/>
          <w:numId w:val="11"/>
        </w:numPr>
        <w:spacing w:after="45" w:line="240" w:lineRule="auto"/>
        <w:jc w:val="left"/>
        <w:outlineLvl w:val="3"/>
        <w:rPr>
          <w:rFonts w:cs="Arial"/>
          <w:b/>
          <w:szCs w:val="24"/>
        </w:rPr>
      </w:pPr>
      <w:r w:rsidRPr="00533342">
        <w:rPr>
          <w:rFonts w:cs="Arial"/>
          <w:szCs w:val="24"/>
        </w:rPr>
        <w:t>CLD makes important contributions to closing the poverty related education attainment gap. For example:</w:t>
      </w:r>
    </w:p>
    <w:p w:rsidR="008B5D58" w:rsidRPr="00533342" w:rsidRDefault="008B5D58" w:rsidP="008B5D58">
      <w:pPr>
        <w:pStyle w:val="ListParagraph"/>
        <w:numPr>
          <w:ilvl w:val="1"/>
          <w:numId w:val="11"/>
        </w:numPr>
        <w:spacing w:after="45" w:line="240" w:lineRule="auto"/>
        <w:jc w:val="left"/>
        <w:outlineLvl w:val="3"/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Family </w:t>
      </w:r>
      <w:proofErr w:type="gramStart"/>
      <w:r w:rsidRPr="00533342">
        <w:rPr>
          <w:rFonts w:cs="Arial"/>
          <w:szCs w:val="24"/>
        </w:rPr>
        <w:t>Learning</w:t>
      </w:r>
      <w:proofErr w:type="gramEnd"/>
      <w:r w:rsidRPr="00533342">
        <w:rPr>
          <w:rFonts w:cs="Arial"/>
          <w:szCs w:val="24"/>
        </w:rPr>
        <w:t xml:space="preserve"> which helps parents to access learning opportunities for themselves and their families, promoting parental involvement and enhancing the home learning environment.</w:t>
      </w:r>
    </w:p>
    <w:p w:rsidR="008B5D58" w:rsidRPr="00533342" w:rsidRDefault="008B5D58" w:rsidP="008B5D58">
      <w:pPr>
        <w:pStyle w:val="ListParagraph"/>
        <w:numPr>
          <w:ilvl w:val="1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jc w:val="left"/>
        <w:rPr>
          <w:rFonts w:cs="Arial"/>
          <w:bCs/>
          <w:szCs w:val="24"/>
        </w:rPr>
      </w:pPr>
      <w:r w:rsidRPr="00533342">
        <w:rPr>
          <w:rFonts w:cs="Arial"/>
          <w:bCs/>
          <w:szCs w:val="24"/>
        </w:rPr>
        <w:t xml:space="preserve">Youth work which supports disadvantaged or vulnerable young people to engage in learning outwith the classroom through a wide range of extra-curricular opportunities. </w:t>
      </w:r>
    </w:p>
    <w:p w:rsidR="008B5D58" w:rsidRPr="00533342" w:rsidRDefault="008B5D58" w:rsidP="008B5D58">
      <w:pPr>
        <w:pStyle w:val="ListParagraph"/>
        <w:numPr>
          <w:ilvl w:val="1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CLD also offers opportunities for learners and their families to become </w:t>
      </w:r>
      <w:r w:rsidRPr="00533342">
        <w:rPr>
          <w:rFonts w:cs="Arial"/>
          <w:bCs/>
          <w:szCs w:val="24"/>
        </w:rPr>
        <w:t>active in their</w:t>
      </w:r>
      <w:r w:rsidRPr="00533342">
        <w:rPr>
          <w:rFonts w:cs="Arial"/>
          <w:szCs w:val="24"/>
        </w:rPr>
        <w:t xml:space="preserve"> </w:t>
      </w:r>
      <w:r w:rsidRPr="00533342">
        <w:rPr>
          <w:rFonts w:cs="Arial"/>
          <w:bCs/>
          <w:szCs w:val="24"/>
        </w:rPr>
        <w:t xml:space="preserve">communities </w:t>
      </w:r>
      <w:r w:rsidRPr="00533342">
        <w:rPr>
          <w:rFonts w:cs="Arial"/>
          <w:szCs w:val="24"/>
        </w:rPr>
        <w:t>through volunteering and social action.</w:t>
      </w:r>
    </w:p>
    <w:p w:rsidR="008B5D58" w:rsidRPr="00533342" w:rsidRDefault="008B5D58" w:rsidP="008B5D58">
      <w:pPr>
        <w:pStyle w:val="ListParagraph"/>
        <w:numPr>
          <w:ilvl w:val="0"/>
          <w:numId w:val="11"/>
        </w:numPr>
        <w:spacing w:after="45" w:line="240" w:lineRule="auto"/>
        <w:jc w:val="left"/>
        <w:outlineLvl w:val="3"/>
        <w:rPr>
          <w:rFonts w:cs="Arial"/>
          <w:b/>
          <w:szCs w:val="24"/>
        </w:rPr>
      </w:pPr>
      <w:r w:rsidRPr="00533342">
        <w:rPr>
          <w:rFonts w:cs="Arial"/>
          <w:bCs/>
          <w:szCs w:val="24"/>
        </w:rPr>
        <w:t>The National Improvement Framework and the Pupil Equity Fund Guidance both highlight CLD and youth work organisations as key partners for schools</w:t>
      </w:r>
      <w:r w:rsidR="008B6C71" w:rsidRPr="00533342">
        <w:rPr>
          <w:rFonts w:cs="Arial"/>
          <w:bCs/>
          <w:szCs w:val="24"/>
        </w:rPr>
        <w:t>.</w:t>
      </w:r>
    </w:p>
    <w:p w:rsidR="004453B4" w:rsidRPr="00533342" w:rsidRDefault="004453B4" w:rsidP="00C34FA7">
      <w:pPr>
        <w:rPr>
          <w:rFonts w:cs="Arial"/>
          <w:b/>
          <w:szCs w:val="24"/>
        </w:rPr>
      </w:pPr>
    </w:p>
    <w:p w:rsidR="008B6C71" w:rsidRPr="00533342" w:rsidRDefault="008B6C71" w:rsidP="008B6C71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 xml:space="preserve">Context: The role of CLD in Regional Improvement </w:t>
      </w:r>
      <w:proofErr w:type="spellStart"/>
      <w:r w:rsidRPr="00533342">
        <w:rPr>
          <w:rFonts w:cs="Arial"/>
          <w:b/>
          <w:szCs w:val="24"/>
        </w:rPr>
        <w:t>Collaboratives</w:t>
      </w:r>
      <w:proofErr w:type="spellEnd"/>
      <w:r w:rsidRPr="00533342">
        <w:rPr>
          <w:rFonts w:cs="Arial"/>
          <w:b/>
          <w:szCs w:val="24"/>
        </w:rPr>
        <w:t xml:space="preserve"> (ICs)</w:t>
      </w:r>
    </w:p>
    <w:p w:rsidR="008B6C71" w:rsidRPr="00533342" w:rsidRDefault="008B6C71" w:rsidP="008B6C71">
      <w:pPr>
        <w:pStyle w:val="Default"/>
        <w:rPr>
          <w:rFonts w:ascii="Arial" w:eastAsiaTheme="minorHAnsi" w:hAnsi="Arial" w:cs="Arial"/>
          <w:color w:val="auto"/>
        </w:rPr>
      </w:pPr>
      <w:r w:rsidRPr="00533342">
        <w:rPr>
          <w:rFonts w:ascii="Arial" w:eastAsiaTheme="minorHAnsi" w:hAnsi="Arial" w:cs="Arial"/>
        </w:rPr>
        <w:t xml:space="preserve">The proposed </w:t>
      </w:r>
      <w:r w:rsidRPr="00533342">
        <w:rPr>
          <w:rFonts w:ascii="Arial" w:hAnsi="Arial" w:cs="Arial"/>
          <w:color w:val="auto"/>
        </w:rPr>
        <w:t xml:space="preserve">role and responsibilities of ICs </w:t>
      </w:r>
      <w:r w:rsidRPr="00533342">
        <w:rPr>
          <w:rFonts w:ascii="Arial" w:eastAsiaTheme="minorHAnsi" w:hAnsi="Arial" w:cs="Arial"/>
        </w:rPr>
        <w:t xml:space="preserve">set out by the Joint Steering Group </w:t>
      </w:r>
      <w:r w:rsidRPr="00533342">
        <w:rPr>
          <w:rFonts w:ascii="Arial" w:eastAsiaTheme="minorHAnsi" w:hAnsi="Arial" w:cs="Arial"/>
          <w:color w:val="auto"/>
        </w:rPr>
        <w:t>In September 2017 highlighted that:</w:t>
      </w:r>
    </w:p>
    <w:p w:rsidR="008B6C71" w:rsidRPr="00533342" w:rsidRDefault="008B6C71" w:rsidP="008B6C71">
      <w:pPr>
        <w:pStyle w:val="Default"/>
        <w:numPr>
          <w:ilvl w:val="0"/>
          <w:numId w:val="10"/>
        </w:numPr>
        <w:rPr>
          <w:rFonts w:ascii="Arial" w:hAnsi="Arial" w:cs="Arial"/>
          <w:color w:val="auto"/>
        </w:rPr>
      </w:pPr>
      <w:r w:rsidRPr="00533342">
        <w:rPr>
          <w:rFonts w:ascii="Arial" w:hAnsi="Arial" w:cs="Arial"/>
          <w:bCs/>
          <w:i/>
          <w:iCs/>
          <w:color w:val="auto"/>
        </w:rPr>
        <w:t>Activity should not be restricted to schools alone, but encompass the range of learning environments that are experienced by children and young people</w:t>
      </w:r>
      <w:r w:rsidRPr="00533342">
        <w:rPr>
          <w:rFonts w:ascii="Arial" w:hAnsi="Arial" w:cs="Arial"/>
          <w:color w:val="auto"/>
        </w:rPr>
        <w:t xml:space="preserve">’ </w:t>
      </w:r>
    </w:p>
    <w:p w:rsidR="003A0D17" w:rsidRPr="00533342" w:rsidRDefault="008B6C71" w:rsidP="00C34FA7">
      <w:pPr>
        <w:pStyle w:val="Default"/>
        <w:numPr>
          <w:ilvl w:val="0"/>
          <w:numId w:val="10"/>
        </w:numPr>
        <w:rPr>
          <w:rFonts w:ascii="Arial" w:eastAsiaTheme="minorHAnsi" w:hAnsi="Arial" w:cs="Arial"/>
          <w:lang w:eastAsia="en-US"/>
        </w:rPr>
      </w:pPr>
      <w:r w:rsidRPr="00533342">
        <w:rPr>
          <w:rFonts w:ascii="Arial" w:hAnsi="Arial" w:cs="Arial"/>
          <w:bCs/>
          <w:i/>
          <w:iCs/>
          <w:color w:val="auto"/>
        </w:rPr>
        <w:t xml:space="preserve">ICs should ‘consider educational improvement </w:t>
      </w:r>
      <w:r w:rsidRPr="00533342">
        <w:rPr>
          <w:rFonts w:ascii="Arial" w:hAnsi="Arial" w:cs="Arial"/>
          <w:bCs/>
          <w:i/>
          <w:iCs/>
        </w:rPr>
        <w:t>within the context of local Children’s Services and the range of work led by multi-agency partners to improve outcomes for children, including Community Planning Partnerships, Social Work, Community Learning and Development and the Third Sector</w:t>
      </w:r>
      <w:r w:rsidRPr="00533342">
        <w:rPr>
          <w:rFonts w:ascii="Arial" w:hAnsi="Arial" w:cs="Arial"/>
        </w:rPr>
        <w:t>.</w:t>
      </w:r>
    </w:p>
    <w:p w:rsidR="00533342" w:rsidRDefault="00533342" w:rsidP="008B6C71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</w:p>
    <w:p w:rsidR="00533342" w:rsidRDefault="00533342" w:rsidP="008B6C71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</w:p>
    <w:p w:rsidR="00533342" w:rsidRDefault="00533342" w:rsidP="008B6C71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</w:p>
    <w:p w:rsidR="008B6C71" w:rsidRPr="00533342" w:rsidRDefault="008B6C71" w:rsidP="008B6C71">
      <w:pPr>
        <w:spacing w:after="45" w:line="240" w:lineRule="auto"/>
        <w:jc w:val="left"/>
        <w:outlineLvl w:val="3"/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lastRenderedPageBreak/>
        <w:t xml:space="preserve">3. </w:t>
      </w:r>
      <w:proofErr w:type="gramStart"/>
      <w:r w:rsidR="00C3604C" w:rsidRPr="00533342">
        <w:rPr>
          <w:rFonts w:cs="Arial"/>
          <w:b/>
          <w:szCs w:val="24"/>
        </w:rPr>
        <w:t>About</w:t>
      </w:r>
      <w:proofErr w:type="gramEnd"/>
      <w:r w:rsidR="00C3604C" w:rsidRPr="00533342">
        <w:rPr>
          <w:rFonts w:cs="Arial"/>
          <w:b/>
          <w:szCs w:val="24"/>
        </w:rPr>
        <w:t xml:space="preserve"> the </w:t>
      </w:r>
      <w:r w:rsidRPr="00533342">
        <w:rPr>
          <w:rFonts w:cs="Arial"/>
          <w:b/>
          <w:szCs w:val="24"/>
        </w:rPr>
        <w:t xml:space="preserve">CLD </w:t>
      </w:r>
      <w:r w:rsidR="003A0D17" w:rsidRPr="00533342">
        <w:rPr>
          <w:rFonts w:cs="Arial"/>
          <w:b/>
          <w:szCs w:val="24"/>
        </w:rPr>
        <w:t xml:space="preserve">Regional </w:t>
      </w:r>
      <w:r w:rsidRPr="00533342">
        <w:rPr>
          <w:rFonts w:cs="Arial"/>
          <w:b/>
          <w:szCs w:val="24"/>
        </w:rPr>
        <w:t>Networks</w:t>
      </w:r>
    </w:p>
    <w:p w:rsidR="00C3604C" w:rsidRPr="00533342" w:rsidRDefault="000F3F27" w:rsidP="00C3604C">
      <w:pPr>
        <w:spacing w:after="45" w:line="240" w:lineRule="auto"/>
        <w:jc w:val="left"/>
        <w:outlineLvl w:val="3"/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The main purpose of the CLD </w:t>
      </w:r>
      <w:r w:rsidR="003A0D17" w:rsidRPr="00533342">
        <w:rPr>
          <w:rFonts w:cs="Arial"/>
          <w:szCs w:val="24"/>
        </w:rPr>
        <w:t xml:space="preserve">regional </w:t>
      </w:r>
      <w:r w:rsidRPr="00533342">
        <w:rPr>
          <w:rFonts w:cs="Arial"/>
          <w:szCs w:val="24"/>
        </w:rPr>
        <w:t xml:space="preserve">networks is to improve opportunities and access to professional </w:t>
      </w:r>
      <w:r w:rsidR="00FA473E" w:rsidRPr="00533342">
        <w:rPr>
          <w:rFonts w:cs="Arial"/>
          <w:szCs w:val="24"/>
        </w:rPr>
        <w:t>learning for</w:t>
      </w:r>
      <w:r w:rsidRPr="00533342">
        <w:rPr>
          <w:rFonts w:cs="Arial"/>
          <w:szCs w:val="24"/>
        </w:rPr>
        <w:t xml:space="preserve"> the CLD workforce in their area</w:t>
      </w:r>
      <w:r w:rsidR="003A0D17" w:rsidRPr="00533342">
        <w:rPr>
          <w:rFonts w:cs="Arial"/>
          <w:szCs w:val="24"/>
        </w:rPr>
        <w:t>s</w:t>
      </w:r>
      <w:r w:rsidRPr="00533342">
        <w:rPr>
          <w:rFonts w:cs="Arial"/>
          <w:szCs w:val="24"/>
        </w:rPr>
        <w:t>.</w:t>
      </w:r>
      <w:r w:rsidR="003A0D17" w:rsidRPr="00533342">
        <w:rPr>
          <w:rFonts w:cs="Arial"/>
          <w:szCs w:val="24"/>
        </w:rPr>
        <w:t xml:space="preserve"> </w:t>
      </w:r>
    </w:p>
    <w:p w:rsidR="000F3F27" w:rsidRPr="00533342" w:rsidRDefault="000F3F27" w:rsidP="000F3F27">
      <w:pPr>
        <w:spacing w:after="45" w:line="240" w:lineRule="auto"/>
        <w:jc w:val="left"/>
        <w:outlineLvl w:val="3"/>
        <w:rPr>
          <w:rFonts w:cs="Arial"/>
          <w:b/>
          <w:bCs/>
          <w:szCs w:val="24"/>
          <w:lang w:val="en" w:eastAsia="en-GB"/>
        </w:rPr>
      </w:pPr>
    </w:p>
    <w:p w:rsidR="000F3F27" w:rsidRPr="00533342" w:rsidRDefault="000F3F27" w:rsidP="000F3F2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  <w:r w:rsidRPr="00533342">
        <w:rPr>
          <w:rFonts w:cs="Arial"/>
          <w:bCs/>
          <w:szCs w:val="24"/>
          <w:lang w:val="en" w:eastAsia="en-GB"/>
        </w:rPr>
        <w:t>The current CLD regional networks</w:t>
      </w:r>
      <w:r w:rsidR="003A0D17" w:rsidRPr="00533342">
        <w:rPr>
          <w:rFonts w:cs="Arial"/>
          <w:bCs/>
          <w:szCs w:val="24"/>
          <w:lang w:val="en" w:eastAsia="en-GB"/>
        </w:rPr>
        <w:t xml:space="preserve"> are</w:t>
      </w:r>
      <w:r w:rsidRPr="00533342">
        <w:rPr>
          <w:rFonts w:cs="Arial"/>
          <w:bCs/>
          <w:szCs w:val="24"/>
          <w:lang w:val="en" w:eastAsia="en-GB"/>
        </w:rPr>
        <w:t>:</w:t>
      </w:r>
    </w:p>
    <w:p w:rsidR="000F3F27" w:rsidRPr="00533342" w:rsidRDefault="003A0D17" w:rsidP="000F3F2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533342">
        <w:rPr>
          <w:rFonts w:cs="Arial"/>
          <w:b/>
          <w:szCs w:val="24"/>
        </w:rPr>
        <w:t xml:space="preserve">The </w:t>
      </w:r>
      <w:r w:rsidR="000F3F27" w:rsidRPr="00533342">
        <w:rPr>
          <w:rFonts w:cs="Arial"/>
          <w:b/>
          <w:szCs w:val="24"/>
        </w:rPr>
        <w:t>North Alliance</w:t>
      </w:r>
      <w:r w:rsidR="000F3F27" w:rsidRPr="00533342">
        <w:rPr>
          <w:rFonts w:cs="Arial"/>
          <w:szCs w:val="24"/>
        </w:rPr>
        <w:t xml:space="preserve"> </w:t>
      </w:r>
      <w:r w:rsidRPr="00533342">
        <w:rPr>
          <w:rFonts w:cs="Arial"/>
          <w:szCs w:val="24"/>
        </w:rPr>
        <w:t>is well established and has been</w:t>
      </w:r>
      <w:r w:rsidRPr="00533342">
        <w:rPr>
          <w:rFonts w:cs="Arial"/>
          <w:bCs/>
          <w:szCs w:val="24"/>
          <w:lang w:val="en" w:eastAsia="en-GB"/>
        </w:rPr>
        <w:t xml:space="preserve"> delivering professional learning opportunities for many years</w:t>
      </w:r>
      <w:r w:rsidRPr="00533342">
        <w:rPr>
          <w:rFonts w:cs="Arial"/>
          <w:szCs w:val="24"/>
        </w:rPr>
        <w:t xml:space="preserve">. It </w:t>
      </w:r>
      <w:r w:rsidR="000F3F27" w:rsidRPr="00533342">
        <w:rPr>
          <w:rFonts w:cs="Arial"/>
          <w:szCs w:val="24"/>
        </w:rPr>
        <w:t>has equal representation from local authority and third sector officers on its executive.</w:t>
      </w:r>
      <w:r w:rsidRPr="00533342">
        <w:rPr>
          <w:rFonts w:cs="Arial"/>
          <w:szCs w:val="24"/>
        </w:rPr>
        <w:t xml:space="preserve"> It covers: Aberdeen, Aberdeenshire, Highland, Moray, Orkney, Shetland, and Western Isles.</w:t>
      </w:r>
    </w:p>
    <w:p w:rsidR="000F3F27" w:rsidRPr="00533342" w:rsidRDefault="003A0D17" w:rsidP="000F3F2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533342">
        <w:rPr>
          <w:rFonts w:cs="Arial"/>
          <w:b/>
          <w:szCs w:val="24"/>
        </w:rPr>
        <w:t xml:space="preserve">The </w:t>
      </w:r>
      <w:r w:rsidR="000F3F27" w:rsidRPr="00533342">
        <w:rPr>
          <w:rFonts w:cs="Arial"/>
          <w:b/>
          <w:szCs w:val="24"/>
        </w:rPr>
        <w:t>Tayside &amp; Fife Consortium</w:t>
      </w:r>
      <w:r w:rsidR="000F3F27" w:rsidRPr="00533342">
        <w:rPr>
          <w:rFonts w:cs="Arial"/>
          <w:szCs w:val="24"/>
        </w:rPr>
        <w:t xml:space="preserve"> </w:t>
      </w:r>
      <w:r w:rsidRPr="00533342">
        <w:rPr>
          <w:rFonts w:cs="Arial"/>
          <w:szCs w:val="24"/>
        </w:rPr>
        <w:t>is also well established and covers: Angus, Dundee, Fife, and Perth &amp; Kinross.</w:t>
      </w:r>
    </w:p>
    <w:p w:rsidR="000F3F27" w:rsidRPr="00533342" w:rsidRDefault="003A0D17" w:rsidP="000F3F2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533342">
        <w:rPr>
          <w:rFonts w:cs="Arial"/>
          <w:b/>
          <w:szCs w:val="24"/>
        </w:rPr>
        <w:t xml:space="preserve">The </w:t>
      </w:r>
      <w:r w:rsidR="000F3F27" w:rsidRPr="00533342">
        <w:rPr>
          <w:rFonts w:cs="Arial"/>
          <w:b/>
          <w:szCs w:val="24"/>
        </w:rPr>
        <w:t>South East &amp; Central Consortium</w:t>
      </w:r>
      <w:r w:rsidRPr="00533342">
        <w:rPr>
          <w:rFonts w:cs="Arial"/>
          <w:szCs w:val="24"/>
        </w:rPr>
        <w:t xml:space="preserve"> is the third of the well-established networks, covering: </w:t>
      </w:r>
      <w:r w:rsidR="000F3F27" w:rsidRPr="00533342">
        <w:rPr>
          <w:rFonts w:cs="Arial"/>
          <w:szCs w:val="24"/>
        </w:rPr>
        <w:t xml:space="preserve">Edinburgh, East Lothian, West Lothian, Midlothian, Clackmannanshire, Falkirk, Stirling, </w:t>
      </w:r>
      <w:r w:rsidR="00533342">
        <w:rPr>
          <w:rFonts w:cs="Arial"/>
          <w:szCs w:val="24"/>
        </w:rPr>
        <w:t xml:space="preserve">Scottish </w:t>
      </w:r>
      <w:r w:rsidR="000F3F27" w:rsidRPr="00533342">
        <w:rPr>
          <w:rFonts w:cs="Arial"/>
          <w:szCs w:val="24"/>
        </w:rPr>
        <w:t>Borders</w:t>
      </w:r>
    </w:p>
    <w:p w:rsidR="000F3F27" w:rsidRPr="00533342" w:rsidRDefault="003A0D17" w:rsidP="000F3F2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533342">
        <w:rPr>
          <w:rFonts w:cs="Arial"/>
          <w:b/>
          <w:szCs w:val="24"/>
        </w:rPr>
        <w:t xml:space="preserve">The </w:t>
      </w:r>
      <w:r w:rsidR="000F3F27" w:rsidRPr="00533342">
        <w:rPr>
          <w:rFonts w:cs="Arial"/>
          <w:b/>
          <w:szCs w:val="24"/>
        </w:rPr>
        <w:t>West CLD Alliance</w:t>
      </w:r>
      <w:r w:rsidR="000F3F27" w:rsidRPr="00533342">
        <w:rPr>
          <w:rFonts w:cs="Arial"/>
          <w:szCs w:val="24"/>
        </w:rPr>
        <w:t xml:space="preserve"> </w:t>
      </w:r>
      <w:r w:rsidRPr="00533342">
        <w:rPr>
          <w:rFonts w:cs="Arial"/>
          <w:szCs w:val="24"/>
        </w:rPr>
        <w:t xml:space="preserve">is a newer network, established about two years ago, but building on previous networking between CLD partners in the area. It covers </w:t>
      </w:r>
      <w:r w:rsidR="000F3F27" w:rsidRPr="00533342">
        <w:rPr>
          <w:rFonts w:cs="Arial"/>
          <w:szCs w:val="24"/>
        </w:rPr>
        <w:t xml:space="preserve">North Lanarkshire, South Lanarkshire, Glasgow, Inverclyde, East Dunbartonshire, </w:t>
      </w:r>
      <w:r w:rsidR="00533342">
        <w:rPr>
          <w:rFonts w:cs="Arial"/>
          <w:szCs w:val="24"/>
        </w:rPr>
        <w:t xml:space="preserve">West Dunbartonshire, </w:t>
      </w:r>
      <w:r w:rsidR="000F3F27" w:rsidRPr="00533342">
        <w:rPr>
          <w:rFonts w:cs="Arial"/>
          <w:szCs w:val="24"/>
        </w:rPr>
        <w:t xml:space="preserve">East Renfrewshire, </w:t>
      </w:r>
      <w:r w:rsidR="00533342">
        <w:rPr>
          <w:rFonts w:cs="Arial"/>
          <w:szCs w:val="24"/>
        </w:rPr>
        <w:t xml:space="preserve">Renfrewshire </w:t>
      </w:r>
      <w:r w:rsidRPr="00533342">
        <w:rPr>
          <w:rFonts w:cs="Arial"/>
          <w:szCs w:val="24"/>
        </w:rPr>
        <w:t xml:space="preserve">and </w:t>
      </w:r>
      <w:r w:rsidR="000F3F27" w:rsidRPr="00533342">
        <w:rPr>
          <w:rFonts w:cs="Arial"/>
          <w:szCs w:val="24"/>
        </w:rPr>
        <w:t>Argyle &amp; B</w:t>
      </w:r>
      <w:r w:rsidRPr="00533342">
        <w:rPr>
          <w:rFonts w:cs="Arial"/>
          <w:szCs w:val="24"/>
        </w:rPr>
        <w:t>ute.</w:t>
      </w:r>
    </w:p>
    <w:p w:rsidR="000F3F27" w:rsidRPr="00533342" w:rsidRDefault="000F3F27" w:rsidP="000F3F2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There is currently no formal CLD network in the </w:t>
      </w:r>
      <w:r w:rsidRPr="00533342">
        <w:rPr>
          <w:rFonts w:cs="Arial"/>
          <w:b/>
          <w:szCs w:val="24"/>
        </w:rPr>
        <w:t>South West</w:t>
      </w:r>
      <w:r w:rsidRPr="00533342">
        <w:rPr>
          <w:rFonts w:cs="Arial"/>
          <w:szCs w:val="24"/>
        </w:rPr>
        <w:t xml:space="preserve"> (South, East &amp; North Ayrshire</w:t>
      </w:r>
      <w:r w:rsidR="00533342">
        <w:rPr>
          <w:rFonts w:cs="Arial"/>
          <w:szCs w:val="24"/>
        </w:rPr>
        <w:t>s</w:t>
      </w:r>
      <w:r w:rsidRPr="00533342">
        <w:rPr>
          <w:rFonts w:cs="Arial"/>
          <w:szCs w:val="24"/>
        </w:rPr>
        <w:t xml:space="preserve">, </w:t>
      </w:r>
      <w:proofErr w:type="gramStart"/>
      <w:r w:rsidRPr="00533342">
        <w:rPr>
          <w:rFonts w:cs="Arial"/>
          <w:szCs w:val="24"/>
        </w:rPr>
        <w:t>Dumfries</w:t>
      </w:r>
      <w:proofErr w:type="gramEnd"/>
      <w:r w:rsidRPr="00533342">
        <w:rPr>
          <w:rFonts w:cs="Arial"/>
          <w:szCs w:val="24"/>
        </w:rPr>
        <w:t xml:space="preserve"> &amp; Galloway)</w:t>
      </w:r>
      <w:r w:rsidR="003A0D17" w:rsidRPr="00533342">
        <w:rPr>
          <w:rFonts w:cs="Arial"/>
          <w:szCs w:val="24"/>
        </w:rPr>
        <w:t xml:space="preserve">, however there is </w:t>
      </w:r>
      <w:r w:rsidRPr="00533342">
        <w:rPr>
          <w:rFonts w:cs="Arial"/>
          <w:szCs w:val="24"/>
        </w:rPr>
        <w:t xml:space="preserve">regular </w:t>
      </w:r>
      <w:r w:rsidR="003A0D17" w:rsidRPr="00533342">
        <w:rPr>
          <w:rFonts w:cs="Arial"/>
          <w:szCs w:val="24"/>
        </w:rPr>
        <w:t xml:space="preserve">communication </w:t>
      </w:r>
      <w:r w:rsidRPr="00533342">
        <w:rPr>
          <w:rFonts w:cs="Arial"/>
          <w:szCs w:val="24"/>
        </w:rPr>
        <w:t>between CLD leads in those areas</w:t>
      </w:r>
      <w:r w:rsidR="003A0D17" w:rsidRPr="00533342">
        <w:rPr>
          <w:rFonts w:cs="Arial"/>
          <w:szCs w:val="24"/>
        </w:rPr>
        <w:t xml:space="preserve"> and links to the other networks</w:t>
      </w:r>
      <w:r w:rsidRPr="00533342">
        <w:rPr>
          <w:rFonts w:cs="Arial"/>
          <w:szCs w:val="24"/>
        </w:rPr>
        <w:t>.</w:t>
      </w:r>
    </w:p>
    <w:p w:rsidR="000F3F27" w:rsidRPr="00533342" w:rsidRDefault="000F3F27" w:rsidP="00C34FA7">
      <w:pPr>
        <w:rPr>
          <w:rFonts w:cs="Arial"/>
          <w:szCs w:val="24"/>
        </w:rPr>
      </w:pPr>
    </w:p>
    <w:p w:rsidR="000F3F27" w:rsidRPr="00533342" w:rsidRDefault="000F3F27" w:rsidP="000F3F27">
      <w:pPr>
        <w:spacing w:line="240" w:lineRule="auto"/>
        <w:rPr>
          <w:rFonts w:cs="Arial"/>
          <w:szCs w:val="24"/>
          <w:lang w:val="en" w:eastAsia="en-GB"/>
        </w:rPr>
      </w:pPr>
      <w:r w:rsidRPr="00533342">
        <w:rPr>
          <w:rFonts w:cs="Arial"/>
          <w:szCs w:val="24"/>
          <w:lang w:val="en" w:eastAsia="en-GB"/>
        </w:rPr>
        <w:t>The core outcomes for all of the</w:t>
      </w:r>
      <w:r w:rsidR="003A0D17" w:rsidRPr="00533342">
        <w:rPr>
          <w:rFonts w:cs="Arial"/>
          <w:szCs w:val="24"/>
          <w:lang w:val="en" w:eastAsia="en-GB"/>
        </w:rPr>
        <w:t xml:space="preserve"> CLD</w:t>
      </w:r>
      <w:r w:rsidRPr="00533342">
        <w:rPr>
          <w:rFonts w:cs="Arial"/>
          <w:szCs w:val="24"/>
          <w:lang w:val="en" w:eastAsia="en-GB"/>
        </w:rPr>
        <w:t xml:space="preserve"> regional networks are to;</w:t>
      </w:r>
    </w:p>
    <w:p w:rsidR="000F3F27" w:rsidRPr="00533342" w:rsidRDefault="000F3F27" w:rsidP="000F3F27">
      <w:pPr>
        <w:pStyle w:val="ListParagraph"/>
        <w:numPr>
          <w:ilvl w:val="0"/>
          <w:numId w:val="2"/>
        </w:numPr>
        <w:spacing w:line="240" w:lineRule="auto"/>
        <w:rPr>
          <w:rFonts w:cs="Arial"/>
          <w:szCs w:val="24"/>
          <w:lang w:val="en" w:eastAsia="en-GB"/>
        </w:rPr>
      </w:pPr>
      <w:r w:rsidRPr="00533342">
        <w:rPr>
          <w:rFonts w:cs="Arial"/>
          <w:szCs w:val="24"/>
          <w:lang w:val="en" w:eastAsia="en-GB"/>
        </w:rPr>
        <w:t xml:space="preserve">Sustain CLD professional standards and practitioner wellbeing </w:t>
      </w:r>
    </w:p>
    <w:p w:rsidR="000F3F27" w:rsidRPr="00533342" w:rsidRDefault="000F3F27" w:rsidP="000F3F27">
      <w:pPr>
        <w:pStyle w:val="ListParagraph"/>
        <w:numPr>
          <w:ilvl w:val="0"/>
          <w:numId w:val="2"/>
        </w:numPr>
        <w:spacing w:line="240" w:lineRule="auto"/>
        <w:rPr>
          <w:rFonts w:cs="Arial"/>
          <w:szCs w:val="24"/>
          <w:lang w:val="en" w:eastAsia="en-GB"/>
        </w:rPr>
      </w:pPr>
      <w:r w:rsidRPr="00533342">
        <w:rPr>
          <w:rFonts w:cs="Arial"/>
          <w:szCs w:val="24"/>
          <w:lang w:val="en" w:eastAsia="en-GB"/>
        </w:rPr>
        <w:t xml:space="preserve">Improve CLD practice through sharing skills, knowledge and interesting practice across local authority, partnership and regional boundaries. </w:t>
      </w:r>
    </w:p>
    <w:p w:rsidR="000F3F27" w:rsidRPr="00533342" w:rsidRDefault="000F3F27" w:rsidP="000F3F27">
      <w:pPr>
        <w:pStyle w:val="ListParagraph"/>
        <w:numPr>
          <w:ilvl w:val="0"/>
          <w:numId w:val="2"/>
        </w:numPr>
        <w:spacing w:line="240" w:lineRule="auto"/>
        <w:rPr>
          <w:rFonts w:cs="Arial"/>
          <w:szCs w:val="24"/>
          <w:lang w:val="en" w:eastAsia="en-GB"/>
        </w:rPr>
      </w:pPr>
      <w:r w:rsidRPr="00533342">
        <w:rPr>
          <w:rFonts w:cs="Arial"/>
          <w:szCs w:val="24"/>
          <w:lang w:val="en" w:eastAsia="en-GB"/>
        </w:rPr>
        <w:t xml:space="preserve">Improve the access of CLD practitioners to CPD opportunities. </w:t>
      </w:r>
    </w:p>
    <w:p w:rsidR="000F3F27" w:rsidRPr="00533342" w:rsidRDefault="000F3F27" w:rsidP="000F3F27">
      <w:pPr>
        <w:pStyle w:val="ListParagraph"/>
        <w:numPr>
          <w:ilvl w:val="0"/>
          <w:numId w:val="2"/>
        </w:numPr>
        <w:spacing w:line="240" w:lineRule="auto"/>
        <w:rPr>
          <w:rFonts w:cs="Arial"/>
          <w:szCs w:val="24"/>
          <w:lang w:val="en" w:eastAsia="en-GB"/>
        </w:rPr>
      </w:pPr>
      <w:r w:rsidRPr="00533342">
        <w:rPr>
          <w:rFonts w:cs="Arial"/>
          <w:szCs w:val="24"/>
          <w:lang w:val="en" w:eastAsia="en-GB"/>
        </w:rPr>
        <w:t xml:space="preserve">Identify priorities of CLD CPD priorities and work with local and national partners to meet them. </w:t>
      </w:r>
    </w:p>
    <w:p w:rsidR="00C34FA7" w:rsidRPr="00533342" w:rsidRDefault="00C34FA7" w:rsidP="00C34FA7">
      <w:pPr>
        <w:rPr>
          <w:rFonts w:cs="Arial"/>
          <w:szCs w:val="24"/>
        </w:rPr>
      </w:pPr>
    </w:p>
    <w:p w:rsidR="00C3604C" w:rsidRPr="00533342" w:rsidRDefault="00C3604C" w:rsidP="00C3604C">
      <w:pPr>
        <w:pStyle w:val="ListParagraph"/>
        <w:numPr>
          <w:ilvl w:val="0"/>
          <w:numId w:val="13"/>
        </w:num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  <w:r w:rsidRPr="00533342">
        <w:rPr>
          <w:rFonts w:cs="Arial"/>
          <w:szCs w:val="24"/>
        </w:rPr>
        <w:t xml:space="preserve">The CLD networks are independent networks providing a range of professional learning and facilitate networking between Local Authorities and, to varying degrees, third sector CLD practitioners in their regions.  </w:t>
      </w:r>
      <w:r w:rsidRPr="00533342">
        <w:rPr>
          <w:rFonts w:cs="Arial"/>
          <w:bCs/>
          <w:szCs w:val="24"/>
          <w:lang w:val="en" w:eastAsia="en-GB"/>
        </w:rPr>
        <w:t xml:space="preserve">The make-up and focus of each network is decided at a regional level. Networks base their work on priorities identified through the local </w:t>
      </w:r>
      <w:hyperlink r:id="rId11" w:history="1">
        <w:r w:rsidRPr="00533342">
          <w:rPr>
            <w:rStyle w:val="Hyperlink"/>
            <w:rFonts w:cs="Arial"/>
            <w:bCs/>
            <w:szCs w:val="24"/>
            <w:lang w:val="en" w:eastAsia="en-GB"/>
          </w:rPr>
          <w:t>CLD plans</w:t>
        </w:r>
      </w:hyperlink>
      <w:r w:rsidRPr="00533342">
        <w:rPr>
          <w:rFonts w:cs="Arial"/>
          <w:bCs/>
          <w:szCs w:val="24"/>
          <w:lang w:val="en" w:eastAsia="en-GB"/>
        </w:rPr>
        <w:t>, national policy priorities, training needs analyses and feedback from members.</w:t>
      </w:r>
    </w:p>
    <w:p w:rsidR="00C3604C" w:rsidRPr="00533342" w:rsidRDefault="00C3604C" w:rsidP="00C3604C">
      <w:pPr>
        <w:pStyle w:val="ListParagraph"/>
        <w:numPr>
          <w:ilvl w:val="0"/>
          <w:numId w:val="13"/>
        </w:num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  <w:r w:rsidRPr="00533342">
        <w:rPr>
          <w:rFonts w:cs="Arial"/>
          <w:bCs/>
          <w:szCs w:val="24"/>
          <w:lang w:val="en" w:eastAsia="en-GB"/>
        </w:rPr>
        <w:t xml:space="preserve">The networks have </w:t>
      </w:r>
      <w:proofErr w:type="gramStart"/>
      <w:r w:rsidRPr="00533342">
        <w:rPr>
          <w:rFonts w:cs="Arial"/>
          <w:bCs/>
          <w:szCs w:val="24"/>
          <w:lang w:val="en" w:eastAsia="en-GB"/>
        </w:rPr>
        <w:t>a  long</w:t>
      </w:r>
      <w:proofErr w:type="gramEnd"/>
      <w:r w:rsidRPr="00533342">
        <w:rPr>
          <w:rFonts w:cs="Arial"/>
          <w:bCs/>
          <w:szCs w:val="24"/>
          <w:lang w:val="en" w:eastAsia="en-GB"/>
        </w:rPr>
        <w:t xml:space="preserve"> history of working together with national agencies. Lead representatives from each network meet together three times per year with Education Scotland and the </w:t>
      </w:r>
      <w:hyperlink r:id="rId12" w:history="1">
        <w:r w:rsidRPr="00533342">
          <w:rPr>
            <w:rStyle w:val="Hyperlink"/>
            <w:rFonts w:cs="Arial"/>
            <w:bCs/>
            <w:szCs w:val="24"/>
            <w:lang w:val="en" w:eastAsia="en-GB"/>
          </w:rPr>
          <w:t xml:space="preserve">CLD Standards Council. </w:t>
        </w:r>
      </w:hyperlink>
      <w:r w:rsidRPr="00533342">
        <w:rPr>
          <w:rFonts w:cs="Arial"/>
          <w:bCs/>
          <w:szCs w:val="24"/>
          <w:lang w:val="en" w:eastAsia="en-GB"/>
        </w:rPr>
        <w:t xml:space="preserve"> </w:t>
      </w:r>
    </w:p>
    <w:p w:rsidR="00C3604C" w:rsidRPr="00533342" w:rsidRDefault="00C3604C" w:rsidP="00DD07E7">
      <w:pPr>
        <w:pStyle w:val="ListParagraph"/>
        <w:numPr>
          <w:ilvl w:val="0"/>
          <w:numId w:val="13"/>
        </w:numPr>
        <w:spacing w:after="45" w:line="240" w:lineRule="auto"/>
        <w:jc w:val="left"/>
        <w:outlineLvl w:val="3"/>
        <w:rPr>
          <w:rStyle w:val="Hyperlink"/>
          <w:rFonts w:cs="Arial"/>
          <w:bCs/>
          <w:color w:val="auto"/>
          <w:szCs w:val="24"/>
          <w:u w:val="none"/>
          <w:lang w:val="en" w:eastAsia="en-GB"/>
        </w:rPr>
      </w:pPr>
      <w:r w:rsidRPr="00533342">
        <w:rPr>
          <w:rFonts w:cs="Arial"/>
          <w:bCs/>
          <w:szCs w:val="24"/>
          <w:lang w:val="en" w:eastAsia="en-GB"/>
        </w:rPr>
        <w:t xml:space="preserve">Each network has a dedicated online group space on </w:t>
      </w:r>
      <w:hyperlink r:id="rId13" w:history="1">
        <w:r w:rsidRPr="00533342">
          <w:rPr>
            <w:rStyle w:val="Hyperlink"/>
            <w:rFonts w:cs="Arial"/>
            <w:bCs/>
            <w:szCs w:val="24"/>
            <w:lang w:val="en" w:eastAsia="en-GB"/>
          </w:rPr>
          <w:t>i-Develop</w:t>
        </w:r>
      </w:hyperlink>
    </w:p>
    <w:p w:rsidR="000F3F27" w:rsidRPr="00533342" w:rsidRDefault="00C3604C" w:rsidP="00DD07E7">
      <w:pPr>
        <w:pStyle w:val="ListParagraph"/>
        <w:numPr>
          <w:ilvl w:val="0"/>
          <w:numId w:val="13"/>
        </w:num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  <w:r w:rsidRPr="00533342">
        <w:rPr>
          <w:rFonts w:cs="Arial"/>
          <w:szCs w:val="24"/>
        </w:rPr>
        <w:t xml:space="preserve">The CLD network </w:t>
      </w:r>
      <w:proofErr w:type="gramStart"/>
      <w:r w:rsidRPr="00533342">
        <w:rPr>
          <w:rFonts w:cs="Arial"/>
          <w:szCs w:val="24"/>
        </w:rPr>
        <w:t>areas  do</w:t>
      </w:r>
      <w:proofErr w:type="gramEnd"/>
      <w:r w:rsidRPr="00533342">
        <w:rPr>
          <w:rFonts w:cs="Arial"/>
          <w:szCs w:val="24"/>
        </w:rPr>
        <w:t xml:space="preserve"> not </w:t>
      </w:r>
      <w:r w:rsidR="00533342">
        <w:rPr>
          <w:rFonts w:cs="Arial"/>
          <w:szCs w:val="24"/>
        </w:rPr>
        <w:t xml:space="preserve">currently </w:t>
      </w:r>
      <w:r w:rsidRPr="00533342">
        <w:rPr>
          <w:rFonts w:cs="Arial"/>
          <w:szCs w:val="24"/>
        </w:rPr>
        <w:t xml:space="preserve">correspond to the six Regional Improvement </w:t>
      </w:r>
      <w:proofErr w:type="spellStart"/>
      <w:r w:rsidRPr="00533342">
        <w:rPr>
          <w:rFonts w:cs="Arial"/>
          <w:szCs w:val="24"/>
        </w:rPr>
        <w:t>Collaboratives</w:t>
      </w:r>
      <w:proofErr w:type="spellEnd"/>
      <w:r w:rsidRPr="00533342">
        <w:rPr>
          <w:rFonts w:cs="Arial"/>
          <w:szCs w:val="24"/>
        </w:rPr>
        <w:t>, however there is a great deal of shared geography in many parts of the country.</w:t>
      </w:r>
    </w:p>
    <w:p w:rsidR="006D5FC7" w:rsidRDefault="006D5FC7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533342" w:rsidRDefault="00533342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533342" w:rsidRDefault="00533342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533342" w:rsidRDefault="00533342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533342" w:rsidRPr="00533342" w:rsidRDefault="00533342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DD07E7" w:rsidRPr="00533342" w:rsidRDefault="00DD07E7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E32B70" w:rsidRPr="00533342" w:rsidRDefault="00E32B70" w:rsidP="00DD07E7">
      <w:pPr>
        <w:spacing w:after="45" w:line="240" w:lineRule="auto"/>
        <w:jc w:val="left"/>
        <w:outlineLvl w:val="3"/>
        <w:rPr>
          <w:rFonts w:cs="Arial"/>
          <w:bCs/>
          <w:szCs w:val="24"/>
          <w:lang w:val="en" w:eastAsia="en-GB"/>
        </w:rPr>
      </w:pPr>
    </w:p>
    <w:p w:rsidR="00DD07E7" w:rsidRPr="00533342" w:rsidRDefault="00DD07E7" w:rsidP="00DD07E7">
      <w:pPr>
        <w:rPr>
          <w:rFonts w:cs="Arial"/>
          <w:szCs w:val="24"/>
        </w:rPr>
      </w:pPr>
    </w:p>
    <w:p w:rsidR="00533342" w:rsidRDefault="00C3604C" w:rsidP="00533342">
      <w:pPr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 xml:space="preserve">4. </w:t>
      </w:r>
      <w:r w:rsidR="00533342" w:rsidRPr="00533342">
        <w:rPr>
          <w:rFonts w:cs="Arial"/>
          <w:b/>
          <w:szCs w:val="24"/>
        </w:rPr>
        <w:t>South East &amp; Central CLD Workforce Development Consortium</w:t>
      </w:r>
    </w:p>
    <w:p w:rsidR="00533342" w:rsidRDefault="00533342" w:rsidP="00533342">
      <w:pPr>
        <w:rPr>
          <w:rFonts w:cs="Arial"/>
          <w:b/>
          <w:szCs w:val="24"/>
        </w:rPr>
      </w:pPr>
    </w:p>
    <w:p w:rsidR="00533342" w:rsidRPr="00533342" w:rsidRDefault="00533342" w:rsidP="00533342">
      <w:pPr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>Aims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Jointly plan and deliver together to provide creative, cost effective learning and upskilling for CLD sector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Use workforce development evidence and data from local authorities and third sector and as identified through CLD plans to shape future learning opportunities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Provide learning and development opportunities in a range of contexts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Develop and support networking opportunities and resource sharing for CLD sector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Develop and support the sharing of CPD opportunities 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 xml:space="preserve">Strengthen the consortium steering group by identify internal strengths and skills, having administrative and financial systems in place 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Continue to encourage representation on steering group by engaging with partners from 3rd Sector, Health, Police, Colleges and Universities.</w:t>
      </w:r>
    </w:p>
    <w:p w:rsidR="00533342" w:rsidRPr="00533342" w:rsidRDefault="00533342" w:rsidP="00533342">
      <w:pPr>
        <w:pStyle w:val="ListParagraph"/>
        <w:numPr>
          <w:ilvl w:val="0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Continue to promote the work of the Consortium at a national level e.g. CLDMS, Education Scotland</w:t>
      </w:r>
    </w:p>
    <w:p w:rsidR="00533342" w:rsidRDefault="00533342" w:rsidP="00533342">
      <w:pPr>
        <w:rPr>
          <w:rFonts w:cs="Arial"/>
          <w:b/>
          <w:szCs w:val="24"/>
        </w:rPr>
      </w:pPr>
    </w:p>
    <w:p w:rsidR="00533342" w:rsidRPr="00533342" w:rsidRDefault="00533342" w:rsidP="00533342">
      <w:pPr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 xml:space="preserve">National Performance Framework </w:t>
      </w:r>
    </w:p>
    <w:p w:rsidR="00533342" w:rsidRPr="00533342" w:rsidRDefault="00533342" w:rsidP="00533342">
      <w:pPr>
        <w:pStyle w:val="ListParagraph"/>
        <w:numPr>
          <w:ilvl w:val="0"/>
          <w:numId w:val="16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Improved life chances for people of all ages, through learning, personal development and active citizenship</w:t>
      </w:r>
    </w:p>
    <w:p w:rsidR="00533342" w:rsidRPr="00533342" w:rsidRDefault="00533342" w:rsidP="00533342">
      <w:pPr>
        <w:pStyle w:val="ListParagraph"/>
        <w:numPr>
          <w:ilvl w:val="0"/>
          <w:numId w:val="16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6" w:lineRule="auto"/>
        <w:jc w:val="left"/>
        <w:rPr>
          <w:rFonts w:cs="Arial"/>
          <w:szCs w:val="24"/>
        </w:rPr>
      </w:pPr>
      <w:r w:rsidRPr="00533342">
        <w:rPr>
          <w:rFonts w:cs="Arial"/>
          <w:szCs w:val="24"/>
        </w:rPr>
        <w:t>Stronger, more resilient, supportive, influential and inclusive communities</w:t>
      </w:r>
    </w:p>
    <w:p w:rsidR="00533342" w:rsidRPr="00533342" w:rsidRDefault="00533342" w:rsidP="00533342">
      <w:pPr>
        <w:rPr>
          <w:rFonts w:cs="Arial"/>
          <w:szCs w:val="24"/>
        </w:rPr>
      </w:pPr>
    </w:p>
    <w:p w:rsidR="00533342" w:rsidRPr="00533342" w:rsidRDefault="00533342" w:rsidP="00533342">
      <w:pPr>
        <w:rPr>
          <w:rFonts w:cs="Arial"/>
          <w:b/>
          <w:szCs w:val="24"/>
        </w:rPr>
      </w:pPr>
      <w:r w:rsidRPr="00533342">
        <w:rPr>
          <w:rFonts w:cs="Arial"/>
          <w:b/>
          <w:szCs w:val="24"/>
        </w:rPr>
        <w:t>Priorities 2017-18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1.</w:t>
      </w:r>
      <w:r w:rsidRPr="00533342">
        <w:rPr>
          <w:rFonts w:cs="Arial"/>
          <w:szCs w:val="24"/>
        </w:rPr>
        <w:tab/>
        <w:t>Jointly plan and deliver learning and upskilling opportunities for CLD Sector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2.</w:t>
      </w:r>
      <w:r w:rsidRPr="00533342">
        <w:rPr>
          <w:rFonts w:cs="Arial"/>
          <w:szCs w:val="24"/>
        </w:rPr>
        <w:tab/>
        <w:t xml:space="preserve">Maintain and develop an online platform 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3.</w:t>
      </w:r>
      <w:r w:rsidRPr="00533342">
        <w:rPr>
          <w:rFonts w:cs="Arial"/>
          <w:szCs w:val="24"/>
        </w:rPr>
        <w:tab/>
        <w:t>Continue to promote the consortium at a national level</w:t>
      </w:r>
    </w:p>
    <w:p w:rsidR="00533342" w:rsidRPr="00533342" w:rsidRDefault="00533342" w:rsidP="00533342">
      <w:pPr>
        <w:ind w:left="720" w:hanging="720"/>
        <w:rPr>
          <w:rFonts w:cs="Arial"/>
          <w:szCs w:val="24"/>
        </w:rPr>
      </w:pPr>
      <w:r w:rsidRPr="00533342">
        <w:rPr>
          <w:rFonts w:cs="Arial"/>
          <w:szCs w:val="24"/>
        </w:rPr>
        <w:t>4.</w:t>
      </w:r>
      <w:r w:rsidRPr="00533342">
        <w:rPr>
          <w:rFonts w:cs="Arial"/>
          <w:szCs w:val="24"/>
        </w:rPr>
        <w:tab/>
        <w:t xml:space="preserve">Strengthen consortium steering group and organisational </w:t>
      </w:r>
      <w:proofErr w:type="gramStart"/>
      <w:r w:rsidRPr="00533342">
        <w:rPr>
          <w:rFonts w:cs="Arial"/>
          <w:szCs w:val="24"/>
        </w:rPr>
        <w:t>practices,</w:t>
      </w:r>
      <w:proofErr w:type="gramEnd"/>
      <w:r w:rsidRPr="00533342">
        <w:rPr>
          <w:rFonts w:cs="Arial"/>
          <w:szCs w:val="24"/>
        </w:rPr>
        <w:t xml:space="preserve"> ensure representation from all LA areas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5.</w:t>
      </w:r>
      <w:r w:rsidRPr="00533342">
        <w:rPr>
          <w:rFonts w:cs="Arial"/>
          <w:szCs w:val="24"/>
        </w:rPr>
        <w:tab/>
        <w:t>Promote and encourage creative use of the Community Activist pack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6.</w:t>
      </w:r>
      <w:r w:rsidRPr="00533342">
        <w:rPr>
          <w:rFonts w:cs="Arial"/>
          <w:szCs w:val="24"/>
        </w:rPr>
        <w:tab/>
        <w:t>Continue to work in partnership with Education Scotland, CLDSC and CLDMS</w:t>
      </w:r>
    </w:p>
    <w:p w:rsidR="00533342" w:rsidRPr="00533342" w:rsidRDefault="00533342" w:rsidP="00533342">
      <w:pPr>
        <w:rPr>
          <w:rFonts w:cs="Arial"/>
          <w:szCs w:val="24"/>
        </w:rPr>
      </w:pPr>
      <w:r w:rsidRPr="00533342">
        <w:rPr>
          <w:rFonts w:cs="Arial"/>
          <w:szCs w:val="24"/>
        </w:rPr>
        <w:t>7.</w:t>
      </w:r>
      <w:r w:rsidRPr="00533342">
        <w:rPr>
          <w:rFonts w:cs="Arial"/>
          <w:szCs w:val="24"/>
        </w:rPr>
        <w:tab/>
        <w:t>Identify opportunities or author training opportunities to highlight CLD Sector priorities</w:t>
      </w:r>
    </w:p>
    <w:p w:rsidR="00533342" w:rsidRPr="00533342" w:rsidRDefault="00533342" w:rsidP="00533342">
      <w:pPr>
        <w:rPr>
          <w:rFonts w:cs="Arial"/>
          <w:szCs w:val="24"/>
        </w:rPr>
      </w:pPr>
    </w:p>
    <w:p w:rsidR="00533342" w:rsidRDefault="00533342">
      <w:pPr>
        <w:rPr>
          <w:rFonts w:cs="Arial"/>
          <w:szCs w:val="24"/>
        </w:rPr>
      </w:pPr>
      <w:r>
        <w:rPr>
          <w:rFonts w:cs="Arial"/>
          <w:szCs w:val="24"/>
        </w:rPr>
        <w:t xml:space="preserve">Contact: Diann Govenlock </w:t>
      </w:r>
      <w:hyperlink r:id="rId14" w:history="1">
        <w:r w:rsidRPr="00C817AF">
          <w:rPr>
            <w:rStyle w:val="Hyperlink"/>
            <w:rFonts w:cs="Arial"/>
            <w:szCs w:val="24"/>
          </w:rPr>
          <w:t>dgovenlock@eastlothian.gcsx.gov.uk</w:t>
        </w:r>
      </w:hyperlink>
    </w:p>
    <w:p w:rsidR="00533342" w:rsidRDefault="00533342">
      <w:pPr>
        <w:rPr>
          <w:rFonts w:cs="Arial"/>
          <w:szCs w:val="24"/>
        </w:rPr>
      </w:pPr>
    </w:p>
    <w:p w:rsidR="00533342" w:rsidRDefault="00533342">
      <w:pPr>
        <w:rPr>
          <w:rFonts w:cs="Arial"/>
          <w:szCs w:val="24"/>
        </w:rPr>
      </w:pPr>
    </w:p>
    <w:p w:rsidR="00533342" w:rsidRDefault="00533342">
      <w:pPr>
        <w:rPr>
          <w:rFonts w:cs="Arial"/>
          <w:szCs w:val="24"/>
        </w:rPr>
      </w:pPr>
    </w:p>
    <w:p w:rsidR="00533342" w:rsidRDefault="00533342">
      <w:pPr>
        <w:rPr>
          <w:rFonts w:cs="Arial"/>
          <w:szCs w:val="24"/>
        </w:rPr>
      </w:pPr>
    </w:p>
    <w:p w:rsidR="00533342" w:rsidRDefault="00533342">
      <w:pPr>
        <w:rPr>
          <w:rFonts w:cs="Arial"/>
          <w:szCs w:val="24"/>
        </w:rPr>
      </w:pPr>
    </w:p>
    <w:p w:rsidR="00533342" w:rsidRPr="00533342" w:rsidRDefault="00533342">
      <w:pPr>
        <w:rPr>
          <w:rFonts w:cs="Arial"/>
          <w:szCs w:val="24"/>
        </w:rPr>
      </w:pPr>
    </w:p>
    <w:p w:rsidR="000108C6" w:rsidRPr="00CC40D7" w:rsidRDefault="000108C6">
      <w:pPr>
        <w:rPr>
          <w:rFonts w:asciiTheme="minorHAnsi" w:hAnsiTheme="minorHAnsi"/>
          <w:szCs w:val="24"/>
        </w:rPr>
      </w:pPr>
    </w:p>
    <w:sectPr w:rsidR="000108C6" w:rsidRPr="00CC40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D1" w:rsidRDefault="003504D1" w:rsidP="003A0D17">
      <w:pPr>
        <w:spacing w:line="240" w:lineRule="auto"/>
      </w:pPr>
      <w:r>
        <w:separator/>
      </w:r>
    </w:p>
  </w:endnote>
  <w:endnote w:type="continuationSeparator" w:id="0">
    <w:p w:rsidR="003504D1" w:rsidRDefault="003504D1" w:rsidP="003A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C" w:rsidRDefault="00C36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33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D17" w:rsidRDefault="003A0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7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D17" w:rsidRDefault="003A0D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C" w:rsidRDefault="00C36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D1" w:rsidRDefault="003504D1" w:rsidP="003A0D17">
      <w:pPr>
        <w:spacing w:line="240" w:lineRule="auto"/>
      </w:pPr>
      <w:r>
        <w:separator/>
      </w:r>
    </w:p>
  </w:footnote>
  <w:footnote w:type="continuationSeparator" w:id="0">
    <w:p w:rsidR="003504D1" w:rsidRDefault="003504D1" w:rsidP="003A0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C" w:rsidRDefault="00C36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206284"/>
      <w:docPartObj>
        <w:docPartGallery w:val="Watermarks"/>
        <w:docPartUnique/>
      </w:docPartObj>
    </w:sdtPr>
    <w:sdtEndPr/>
    <w:sdtContent>
      <w:p w:rsidR="00C3604C" w:rsidRDefault="003504D1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4C" w:rsidRDefault="00C360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F36"/>
    <w:multiLevelType w:val="hybridMultilevel"/>
    <w:tmpl w:val="FDB8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110"/>
    <w:multiLevelType w:val="hybridMultilevel"/>
    <w:tmpl w:val="0CF68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155E8"/>
    <w:multiLevelType w:val="hybridMultilevel"/>
    <w:tmpl w:val="FEC8C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F7CF2"/>
    <w:multiLevelType w:val="hybridMultilevel"/>
    <w:tmpl w:val="2A74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C0998"/>
    <w:multiLevelType w:val="hybridMultilevel"/>
    <w:tmpl w:val="714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A6C0F"/>
    <w:multiLevelType w:val="hybridMultilevel"/>
    <w:tmpl w:val="A1CEE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CF2D06"/>
    <w:multiLevelType w:val="hybridMultilevel"/>
    <w:tmpl w:val="0DE6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0EF6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429C6"/>
    <w:multiLevelType w:val="hybridMultilevel"/>
    <w:tmpl w:val="79DC5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372409"/>
    <w:multiLevelType w:val="hybridMultilevel"/>
    <w:tmpl w:val="4D563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266F57"/>
    <w:multiLevelType w:val="hybridMultilevel"/>
    <w:tmpl w:val="49B639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481EF3"/>
    <w:multiLevelType w:val="hybridMultilevel"/>
    <w:tmpl w:val="79D2F3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6B31DB"/>
    <w:multiLevelType w:val="hybridMultilevel"/>
    <w:tmpl w:val="9C5E7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A96C6F"/>
    <w:multiLevelType w:val="hybridMultilevel"/>
    <w:tmpl w:val="F7A28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7547A4"/>
    <w:multiLevelType w:val="hybridMultilevel"/>
    <w:tmpl w:val="3892C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76536"/>
    <w:multiLevelType w:val="hybridMultilevel"/>
    <w:tmpl w:val="4CFA6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7"/>
    <w:rsid w:val="000108C6"/>
    <w:rsid w:val="000F3F27"/>
    <w:rsid w:val="00136222"/>
    <w:rsid w:val="00170ED9"/>
    <w:rsid w:val="001A285E"/>
    <w:rsid w:val="003504D1"/>
    <w:rsid w:val="003A0D17"/>
    <w:rsid w:val="00425D87"/>
    <w:rsid w:val="004453B4"/>
    <w:rsid w:val="004B183D"/>
    <w:rsid w:val="00533342"/>
    <w:rsid w:val="006D5FC7"/>
    <w:rsid w:val="0072509C"/>
    <w:rsid w:val="007339C5"/>
    <w:rsid w:val="00811551"/>
    <w:rsid w:val="008120A6"/>
    <w:rsid w:val="00882305"/>
    <w:rsid w:val="008B5D58"/>
    <w:rsid w:val="008B6C71"/>
    <w:rsid w:val="009E24F3"/>
    <w:rsid w:val="00A57788"/>
    <w:rsid w:val="00AA26F7"/>
    <w:rsid w:val="00B71E67"/>
    <w:rsid w:val="00B77E51"/>
    <w:rsid w:val="00B9184A"/>
    <w:rsid w:val="00C34FA7"/>
    <w:rsid w:val="00C3604C"/>
    <w:rsid w:val="00C37183"/>
    <w:rsid w:val="00CC40D7"/>
    <w:rsid w:val="00D41A01"/>
    <w:rsid w:val="00DD07E7"/>
    <w:rsid w:val="00E32B70"/>
    <w:rsid w:val="00E34CD0"/>
    <w:rsid w:val="00F565AB"/>
    <w:rsid w:val="00FA473E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E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E7"/>
    <w:rPr>
      <w:color w:val="0000FF" w:themeColor="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DD07E7"/>
    <w:pPr>
      <w:ind w:left="720"/>
      <w:contextualSpacing/>
    </w:pPr>
  </w:style>
  <w:style w:type="paragraph" w:customStyle="1" w:styleId="Default">
    <w:name w:val="Default"/>
    <w:rsid w:val="001362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6D5FC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71E6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A0D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1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A0D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17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60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E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E7"/>
    <w:rPr>
      <w:color w:val="0000FF" w:themeColor="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DD07E7"/>
    <w:pPr>
      <w:ind w:left="720"/>
      <w:contextualSpacing/>
    </w:pPr>
  </w:style>
  <w:style w:type="paragraph" w:customStyle="1" w:styleId="Default">
    <w:name w:val="Default"/>
    <w:rsid w:val="001362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6D5FC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B71E6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A0D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1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A0D1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17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60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-develop-cld.org.uk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dstandardscouncil.org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gov.scot/improvement/Pages/cld22-planning-with-cld-partners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ducation.gov.scot/improvement/Pages/cld22-planning-with-cld-partners.aspx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education.gov.scot/improvement/Pages/cld16wwsc.aspx" TargetMode="External"/><Relationship Id="rId14" Type="http://schemas.openxmlformats.org/officeDocument/2006/relationships/hyperlink" Target="mailto:dgovenlock@eastlothian.gcsx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9E69-2A43-4ECC-A2E6-EC0CB74F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u417612</dc:creator>
  <cp:lastModifiedBy>Catto, Derek</cp:lastModifiedBy>
  <cp:revision>2</cp:revision>
  <dcterms:created xsi:type="dcterms:W3CDTF">2017-11-29T09:25:00Z</dcterms:created>
  <dcterms:modified xsi:type="dcterms:W3CDTF">2017-11-29T09:25:00Z</dcterms:modified>
</cp:coreProperties>
</file>